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附表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龙里县20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年“特岗计划”招聘指标及岗位设置分配表</w:t>
      </w:r>
    </w:p>
    <w:bookmarkEnd w:id="0"/>
    <w:tbl>
      <w:tblPr>
        <w:tblStyle w:val="3"/>
        <w:tblpPr w:leftFromText="180" w:rightFromText="180" w:vertAnchor="text" w:horzAnchor="page" w:tblpX="1326" w:tblpY="534"/>
        <w:tblOverlap w:val="never"/>
        <w:tblW w:w="14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94"/>
        <w:gridCol w:w="1181"/>
        <w:gridCol w:w="1125"/>
        <w:gridCol w:w="1425"/>
        <w:gridCol w:w="6129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特岗计划类别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招聘指标</w:t>
            </w:r>
          </w:p>
        </w:tc>
        <w:tc>
          <w:tcPr>
            <w:tcW w:w="6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招聘学校及人数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农村初中语文教师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农村初中语文教师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卫华中学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农村初中数学教师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卫华中学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农村初中英语教师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物理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物理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农村初中化学教师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农村初中生物教师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历史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历史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政治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体育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美术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美术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农村初中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信息技术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信息技术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羊场中学1人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湾寨中学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摆省中学1人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农村小学语文教师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木马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谷龙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岱林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农村小学语文教师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果里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羊场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哪嗙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龙场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农村小学语文教师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平坡小学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1人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平寨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农村小学数学教师（A）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果里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岱林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1人  巴江小学2人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农村小学数学教师（B）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数学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平寨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渔洞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农村小学数学教师（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数学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谷龙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木马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英语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木马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渔洞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岱林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湾寨小学1人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羊场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2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教师（B）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英语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6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哪嗙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巴江小学1人  落掌小学1人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平寨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音乐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湾寨小学1人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洗马小学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1人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谷龙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体育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岱林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小学1人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平寨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谷龙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美术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美术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岱林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巴江小学1人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信息技术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信息技术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科学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科学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果里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渔洞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岱林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湾寨小学1人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哪嗙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新庄小学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农村小学教师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中央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综合学科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渔洞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长沟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小学1人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农村幼儿园教师（A）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平寨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渔洞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哪嗙幼儿园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农村幼儿园教师（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摆省第二幼儿园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3人  洗马幼儿园2人 平坡幼儿园2人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农村幼儿园教师（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巴江幼儿园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2人  龙场幼儿园2人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木马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农村幼儿园教师（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元宝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人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醒狮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农村幼儿园教师（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地方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计划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综合学科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果里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140</w:t>
            </w:r>
          </w:p>
        </w:tc>
        <w:tc>
          <w:tcPr>
            <w:tcW w:w="6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说明：录取考生根据报考的招聘岗位，按成绩高低优先选择相应招聘岗位的学校进行签约，一经确定不得再进行更改；若放弃签约，招聘单位将根据有关规定进行替补或调剂。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4D35"/>
    <w:rsid w:val="558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2020-06-29T00:58:00Z</dcterms:created>
  <dc:creator>寒江孤影</dc:creator>
  <cp:lastModifiedBy>寒江孤影</cp:lastModifiedBy>
  <dcterms:modified xsi:type="dcterms:W3CDTF">2020-06-29T00:59:55Z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