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20" w:lineRule="exact"/>
        <w:jc w:val="both"/>
        <w:textAlignment w:val="auto"/>
        <w:rPr>
          <w:rFonts w:ascii="黑体" w:hAnsi="宋体" w:eastAsia="黑体" w:cs="Times New Roman"/>
          <w:snapToGrid/>
          <w:color w:val="auto"/>
          <w:sz w:val="32"/>
          <w:szCs w:val="32"/>
        </w:rPr>
      </w:pPr>
      <w:r>
        <w:rPr>
          <w:rFonts w:hint="eastAsia" w:ascii="黑体" w:hAnsi="宋体" w:eastAsia="黑体" w:cs="黑体"/>
          <w:snapToGrid/>
          <w:color w:val="auto"/>
          <w:sz w:val="32"/>
          <w:szCs w:val="32"/>
          <w:lang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20" w:lineRule="exact"/>
        <w:jc w:val="center"/>
        <w:textAlignment w:val="auto"/>
        <w:rPr>
          <w:rFonts w:ascii="方正小标宋简体" w:hAnsi="Calibri" w:eastAsia="方正小标宋简体" w:cs="Times New Roman"/>
          <w:snapToGrid/>
          <w:color w:val="auto"/>
          <w:sz w:val="44"/>
          <w:szCs w:val="44"/>
          <w:highlight w:val="none"/>
        </w:rPr>
      </w:pPr>
      <w:r>
        <w:rPr>
          <w:rFonts w:ascii="方正小标宋简体" w:hAnsi="Calibri" w:eastAsia="方正小标宋简体" w:cs="Times New Roman"/>
          <w:snapToGrid/>
          <w:color w:val="auto"/>
          <w:sz w:val="44"/>
          <w:szCs w:val="44"/>
          <w:highlight w:val="none"/>
        </w:rPr>
        <w:t>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="0" w:afterLines="0" w:line="620" w:lineRule="exact"/>
        <w:ind w:left="640" w:leftChars="200"/>
        <w:jc w:val="both"/>
        <w:textAlignment w:val="auto"/>
        <w:rPr>
          <w:rFonts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黑体" w:hAnsi="黑体" w:eastAsia="黑体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napToGrid/>
          <w:color w:val="auto"/>
          <w:kern w:val="0"/>
          <w:sz w:val="32"/>
          <w:szCs w:val="32"/>
          <w:highlight w:val="none"/>
        </w:rPr>
        <w:t>一、体检标准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  <w:t>（一）体检项目如下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常规检查（内科、外科、纹身、身高、血压、视力、听力）、心电图、放射（胸部正位片）、B超（腹部彩色多普</w:t>
      </w:r>
      <w:bookmarkStart w:id="0" w:name="_GoBack"/>
      <w:bookmarkEnd w:id="0"/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勒超声检查）、尿检（尿常规和尿吗啡毒检）、血检（血常规、静脉采血、血糖、肝功能二项、肾功能三项、甲型肝炎、丙型肝炎）。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  <w:t>（二）体检合格标准如下：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.血压：收缩压90mmHg-140mmHg，舒张压60mmHg-90mmHg。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.谷丙转氨酶（ALT）：小于等于100U/L。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.视力：双眼裸眼视力均不低于4.5或双眼矫正视力均不低于4.8，无色盲或明显视功能损害眼病。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.心率：60—100次/分。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放射：重点检查有无肺结核、肿瘤、纵隔疾病；孤立散在的钙化点（直径不超过0.5cm），双肺野不超过3个，密度高，边缘清晰，周围无浸润现象；肺纹理轻度增强（无呼吸道病史，无自觉症状）；一侧肋膈角轻度变钝（无心、肺、胸疾病史，无自觉症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6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彩超：肝、胆、胰、脾、双肾未见明显异常；无脂肪肝或者轻、中度脂肪肝但肝功能正常；胆囊息肉样病变，数量3个以下且长径均在0.5cm以下；肝肾囊肿和血管瘤单脏器数量3个以下且长径均在1cm以下；单发肝肾囊肿和血管瘤长径3cm以下；肝、脾内钙化灶数量3个以下且长径均在1cm以下；双肾实质钙化灶数量3个以下且长径1cm以下；双肾错构瘤数量2个以下且长径均在1cm以下；肾盂宽不超过1.5cm，输尿管不增宽；脾脏长径10cm以下，厚度4.5cm以下；脾脏长径超过10cm或厚径超过4.5cm，但脾面积测量（0.8×长径×厚径）38cm</w:t>
      </w:r>
      <w:r>
        <w:rPr>
          <w:rFonts w:ascii="Calibri" w:hAnsi="Calibri" w:eastAsia="仿宋_GB2312" w:cs="Calibri"/>
          <w:snapToGrid/>
          <w:color w:val="auto"/>
          <w:kern w:val="0"/>
          <w:sz w:val="32"/>
          <w:szCs w:val="32"/>
          <w:highlight w:val="none"/>
        </w:rPr>
        <w:t>²</w:t>
      </w:r>
      <w:r>
        <w:rPr>
          <w:rFonts w:hint="eastAsia" w:ascii="仿宋_GB2312" w:hAnsi="黑体" w:eastAsia="仿宋_GB2312" w:cs="黑体"/>
          <w:snapToGrid/>
          <w:color w:val="auto"/>
          <w:kern w:val="0"/>
          <w:sz w:val="32"/>
          <w:szCs w:val="32"/>
          <w:highlight w:val="none"/>
        </w:rPr>
        <w:t>以下，排除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器质性病变。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7</w:t>
      </w: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.尿常规：尿蛋白：阴性至微量，阳性不超+；尿红细胞：男性0～偶见／高倍镜，女性0～3／高倍镜，女性不超过6个/高倍镜，一般情况下不超过+（月经期除外）；白细胞：男性0～3／高倍镜，女性0～5／高倍镜，不超过6个/高倍镜，一般情况下不超过++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  <w:t>（三）有下列情况的视为不合格：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1.未在合格标准范围内的。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2.腹部超声检查发现恶性征象、病理性脾肿大、胰腺病变、肝肾弥漫性实质损害、胆囊及胆总管梗阻、肾盂积水、内脏反位、单肾以及其他病变和异常的。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3.尿液毒品检测阳性。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4.内科相关疾病：高血压病，器质性心脏病，血管疾病，右位心脏；慢性支气管炎，支气管扩张，支气管哮喘，以及其他呼吸系统慢性疾病；严重慢性胃、肠疾病，肝脏、胆囊、脾脏、胰腺疾病，内脏下垂，腹部包块；血液、内分泌系统疾病，代谢性疾病，免疫性疾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5.有病毒性肝炎，结核，流行性出血热，细菌性和阿米巴性痢疾，黑热病，伤寒，副伤寒，布鲁氏菌病，钩端螺旋体病，血吸虫病，疟疾，丝虫病以及其他传染病，经公司认定不适宜从事岗位工作的。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6.听力：双耳均有听力障碍。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7.因肢体不协调或手指、脚趾缺失，影响生产操作的。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8.显眼位置有纹身的或其余部位有大面积纹身（大于5mm×5mm）的。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黑体" w:eastAsia="楷体_GB2312" w:cs="宋体"/>
          <w:snapToGrid/>
          <w:color w:val="auto"/>
          <w:kern w:val="0"/>
          <w:sz w:val="32"/>
          <w:szCs w:val="32"/>
          <w:highlight w:val="none"/>
        </w:rPr>
        <w:t>（四）体检结果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rPr>
          <w:rFonts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宋体"/>
          <w:snapToGrid/>
          <w:color w:val="auto"/>
          <w:kern w:val="0"/>
          <w:sz w:val="32"/>
          <w:szCs w:val="32"/>
          <w:highlight w:val="none"/>
        </w:rPr>
        <w:t>医院根据应聘者体检指标已判断不合格的，不再复查；对应聘者体检项目指标异常的，根据医院医生建议可复查一次。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_GB2312" w:hAnsi="仿宋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体检时间、地点、医院由贵州习酒股份有限公司指定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20" w:lineRule="exact"/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4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e1vsM3AgAAbQ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RweRZmGAiSX1&#10;qUcpdNtuqGdryiPKdKafE2/5ukEqG+bDPXMYDKSP1Ql3OCppENIMEiW1cZ//pY/+6BeslLQYtIJq&#10;7BUl8p1GHyf5FZYCg5luENwf6u1Zrffq1mCG0SVklcToHORZrJxRn7BZyxgNJqY5YhY0nMXb0I89&#10;NpOL5TI5YQYtCxv9YHmEjkR5u9wHEJv4jvT0nKBP8YIpTB0bNiaO+e/35PX4l1j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Xtb7D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4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B3182"/>
    <w:rsid w:val="17267A21"/>
    <w:rsid w:val="23CB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仿宋_GB2312" w:hAnsi="仿宋_GB2312" w:eastAsia="仿宋_GB2312" w:cs="方正小标宋简体"/>
      <w:snapToGrid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2025-03-25T01:13:00Z</dcterms:created>
  <dc:creator>微信用户</dc:creator>
  <cp:lastModifiedBy>微信用户</cp:lastModifiedBy>
  <dcterms:modified xsi:type="dcterms:W3CDTF">2025-03-25T01:15:47Z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5C648C04F0BD4A70AD535D0EC096CA13</vt:lpwstr>
  </property>
</Properties>
</file>